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9812" w14:textId="68F45F37" w:rsidR="006B3BCE" w:rsidRPr="005B6568" w:rsidRDefault="006B3BCE" w:rsidP="006B3BCE">
      <w:pPr>
        <w:pStyle w:val="a7"/>
        <w:tabs>
          <w:tab w:val="left" w:pos="709"/>
          <w:tab w:val="right" w:pos="9639"/>
        </w:tabs>
        <w:wordWrap w:val="0"/>
        <w:spacing w:after="0"/>
        <w:ind w:right="120"/>
        <w:jc w:val="right"/>
        <w:rPr>
          <w:rFonts w:cs="Arial"/>
          <w:lang w:eastAsia="ja-JP"/>
        </w:rPr>
      </w:pPr>
      <w:r w:rsidRPr="005B6568">
        <w:rPr>
          <w:rFonts w:cs="Arial"/>
        </w:rPr>
        <w:t xml:space="preserve">3GPP </w:t>
      </w:r>
      <w:r w:rsidRPr="005B6568">
        <w:rPr>
          <w:rFonts w:cs="Arial"/>
          <w:lang w:eastAsia="ja-JP"/>
        </w:rPr>
        <w:t>TSG-RAN</w:t>
      </w:r>
      <w:r w:rsidRPr="005B6568">
        <w:rPr>
          <w:rFonts w:cs="Arial" w:hint="eastAsia"/>
          <w:lang w:eastAsia="ja-JP"/>
        </w:rPr>
        <w:t xml:space="preserve"> WG2 </w:t>
      </w:r>
      <w:r w:rsidRPr="005B6568">
        <w:rPr>
          <w:rFonts w:cs="Arial"/>
          <w:lang w:eastAsia="ja-JP"/>
        </w:rPr>
        <w:t>#123</w:t>
      </w:r>
      <w:r w:rsidR="007507A2">
        <w:rPr>
          <w:rFonts w:cs="Arial"/>
          <w:lang w:eastAsia="ja-JP"/>
        </w:rPr>
        <w:t>-</w:t>
      </w:r>
      <w:r w:rsidR="0055699B">
        <w:rPr>
          <w:rFonts w:cs="Arial"/>
          <w:lang w:eastAsia="ja-JP"/>
        </w:rPr>
        <w:t>bis</w:t>
      </w:r>
      <w:r w:rsidRPr="005B6568">
        <w:rPr>
          <w:rFonts w:cs="Arial"/>
        </w:rPr>
        <w:tab/>
      </w:r>
      <w:r w:rsidR="005B6568" w:rsidRPr="00107A58">
        <w:rPr>
          <w:rFonts w:cs="Arial"/>
        </w:rPr>
        <w:t>R2-</w:t>
      </w:r>
      <w:r w:rsidR="00107A58" w:rsidRPr="00107A58">
        <w:rPr>
          <w:rFonts w:cs="Arial"/>
        </w:rPr>
        <w:t>2311072</w:t>
      </w:r>
    </w:p>
    <w:p w14:paraId="7DD09E9C" w14:textId="4F898F29" w:rsidR="006B3BCE" w:rsidRPr="00863065" w:rsidRDefault="0055699B" w:rsidP="006B3BCE">
      <w:pPr>
        <w:pStyle w:val="a7"/>
        <w:tabs>
          <w:tab w:val="left" w:pos="709"/>
          <w:tab w:val="right" w:pos="9639"/>
        </w:tabs>
        <w:spacing w:after="0"/>
        <w:jc w:val="left"/>
        <w:rPr>
          <w:rFonts w:cs="Arial"/>
          <w:lang w:val="en-US" w:eastAsia="ja-JP"/>
        </w:rPr>
      </w:pPr>
      <w:r>
        <w:rPr>
          <w:rFonts w:cs="Arial"/>
          <w:szCs w:val="24"/>
        </w:rPr>
        <w:t>Xiamen</w:t>
      </w:r>
      <w:r w:rsidR="006B3BCE" w:rsidRPr="005B6568">
        <w:rPr>
          <w:rFonts w:cs="Arial"/>
          <w:szCs w:val="24"/>
        </w:rPr>
        <w:t xml:space="preserve">, </w:t>
      </w:r>
      <w:r>
        <w:rPr>
          <w:rFonts w:cs="Arial"/>
          <w:szCs w:val="24"/>
        </w:rPr>
        <w:t>China</w:t>
      </w:r>
      <w:r w:rsidR="006B3BCE" w:rsidRPr="005B6568">
        <w:rPr>
          <w:rFonts w:cs="Arial"/>
          <w:lang w:val="en-US" w:eastAsia="ja-JP"/>
        </w:rPr>
        <w:t xml:space="preserve">, </w:t>
      </w:r>
      <w:r>
        <w:rPr>
          <w:rFonts w:cs="Arial"/>
          <w:lang w:val="en-US" w:eastAsia="ja-JP"/>
        </w:rPr>
        <w:t>9</w:t>
      </w:r>
      <w:r>
        <w:rPr>
          <w:rFonts w:cs="Arial"/>
          <w:vertAlign w:val="superscript"/>
          <w:lang w:val="en-US" w:eastAsia="ja-JP"/>
        </w:rPr>
        <w:t>th</w:t>
      </w:r>
      <w:r w:rsidR="006B3BCE" w:rsidRPr="005B6568">
        <w:rPr>
          <w:rFonts w:cs="Arial"/>
          <w:lang w:val="en-US" w:eastAsia="ja-JP"/>
        </w:rPr>
        <w:t xml:space="preserve"> –</w:t>
      </w:r>
      <w:r w:rsidR="006B3BCE" w:rsidRPr="005B6568">
        <w:rPr>
          <w:rFonts w:cs="Arial" w:hint="eastAsia"/>
          <w:lang w:val="en-US" w:eastAsia="ja-JP"/>
        </w:rPr>
        <w:t xml:space="preserve"> </w:t>
      </w:r>
      <w:r>
        <w:rPr>
          <w:rFonts w:cs="Arial"/>
          <w:lang w:val="en-US" w:eastAsia="ja-JP"/>
        </w:rPr>
        <w:t>13</w:t>
      </w:r>
      <w:r>
        <w:rPr>
          <w:rFonts w:cs="Arial"/>
          <w:vertAlign w:val="superscript"/>
          <w:lang w:val="en-US" w:eastAsia="ja-JP"/>
        </w:rPr>
        <w:t>rd</w:t>
      </w:r>
      <w:r w:rsidR="006B3BCE" w:rsidRPr="005B6568">
        <w:rPr>
          <w:rFonts w:cs="Arial"/>
          <w:lang w:val="en-US" w:eastAsia="ja-JP"/>
        </w:rPr>
        <w:t xml:space="preserve"> </w:t>
      </w:r>
      <w:r>
        <w:rPr>
          <w:rFonts w:cs="Arial"/>
          <w:lang w:val="en-US" w:eastAsia="ja-JP"/>
        </w:rPr>
        <w:t>Oct</w:t>
      </w:r>
      <w:r w:rsidR="006B3BCE" w:rsidRPr="005B6568">
        <w:rPr>
          <w:rFonts w:cs="Arial"/>
          <w:lang w:val="en-US" w:eastAsia="ja-JP"/>
        </w:rPr>
        <w:t xml:space="preserve"> 2023</w:t>
      </w:r>
    </w:p>
    <w:p w14:paraId="3AF895BC" w14:textId="77777777" w:rsidR="007E2FC8" w:rsidRPr="006B3BCE"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3D3291A5"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84658A" w:rsidRPr="0084658A">
        <w:rPr>
          <w:rFonts w:ascii="Arial" w:hAnsi="Arial" w:cs="Arial"/>
          <w:b/>
          <w:sz w:val="24"/>
        </w:rPr>
        <w:t xml:space="preserve">Discussion on </w:t>
      </w:r>
      <w:r w:rsidR="004407A3">
        <w:rPr>
          <w:rFonts w:ascii="Arial" w:hAnsi="Arial" w:cs="Arial"/>
          <w:b/>
          <w:sz w:val="24"/>
        </w:rPr>
        <w:t>Cell selection</w:t>
      </w:r>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57494A41"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B350B3">
        <w:rPr>
          <w:rFonts w:ascii="Arial" w:hAnsi="Arial" w:cs="Arial" w:hint="eastAsia"/>
          <w:b/>
          <w:sz w:val="24"/>
          <w:lang w:eastAsia="ja-JP"/>
        </w:rPr>
        <w:t>7</w:t>
      </w:r>
      <w:r>
        <w:rPr>
          <w:rFonts w:ascii="Arial" w:hAnsi="Arial" w:cs="Arial"/>
          <w:b/>
          <w:sz w:val="24"/>
          <w:lang w:eastAsia="ja-JP"/>
        </w:rPr>
        <w:t>.</w:t>
      </w:r>
      <w:r w:rsidR="00B350B3">
        <w:rPr>
          <w:rFonts w:ascii="Arial" w:hAnsi="Arial" w:cs="Arial" w:hint="eastAsia"/>
          <w:b/>
          <w:sz w:val="24"/>
          <w:lang w:eastAsia="ja-JP"/>
        </w:rPr>
        <w:t>3</w:t>
      </w:r>
      <w:r>
        <w:rPr>
          <w:rFonts w:ascii="Arial" w:hAnsi="Arial" w:cs="Arial"/>
          <w:b/>
          <w:sz w:val="24"/>
          <w:lang w:eastAsia="ja-JP"/>
        </w:rPr>
        <w:t>.</w:t>
      </w:r>
      <w:r w:rsidR="00B350B3">
        <w:rPr>
          <w:rFonts w:ascii="Arial" w:hAnsi="Arial" w:cs="Arial" w:hint="eastAsia"/>
          <w:b/>
          <w:sz w:val="24"/>
          <w:lang w:eastAsia="ja-JP"/>
        </w:rPr>
        <w:t>4</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3FEF1373" w14:textId="1F532631" w:rsidR="00C639CE" w:rsidRDefault="001A5E4A" w:rsidP="00C639CE">
      <w:pPr>
        <w:rPr>
          <w:lang w:eastAsia="zh-CN"/>
        </w:rPr>
      </w:pPr>
      <w:r w:rsidRPr="001A5E4A">
        <w:rPr>
          <w:lang w:eastAsia="zh-CN"/>
        </w:rPr>
        <w:t>The Network Energy saving (NES) WID RP-223540 was agreed in RAN#98-e [1] , and the WI objective on Cell selection is as follows;</w:t>
      </w:r>
    </w:p>
    <w:p w14:paraId="4C4372B3" w14:textId="77777777" w:rsidR="00C639CE" w:rsidRPr="00440A84" w:rsidRDefault="00C639CE" w:rsidP="00C639CE">
      <w:pPr>
        <w:numPr>
          <w:ilvl w:val="0"/>
          <w:numId w:val="2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rightChars="354" w:right="779"/>
        <w:textAlignment w:val="baseline"/>
        <w:rPr>
          <w:rFonts w:eastAsia="SimSun"/>
          <w:bCs/>
          <w:sz w:val="20"/>
          <w:lang w:eastAsia="en-GB"/>
        </w:rPr>
      </w:pPr>
      <w:r w:rsidRPr="00440A84">
        <w:rPr>
          <w:rFonts w:eastAsia="SimSun"/>
          <w:bCs/>
          <w:sz w:val="20"/>
          <w:lang w:eastAsia="en-GB"/>
        </w:rPr>
        <w:t xml:space="preserve">Specify mechanism(s) to prevent legacy UEs camping on cells adopting the Rel-18 NES techniques, if necessary [RAN2] </w:t>
      </w:r>
    </w:p>
    <w:p w14:paraId="52942361" w14:textId="77777777" w:rsidR="00C639CE" w:rsidRDefault="00C639CE" w:rsidP="00C639CE">
      <w:pPr>
        <w:rPr>
          <w:szCs w:val="22"/>
          <w:lang w:eastAsia="ja-JP"/>
        </w:rPr>
      </w:pPr>
    </w:p>
    <w:p w14:paraId="37484FC0" w14:textId="75E4D235" w:rsidR="008B1995" w:rsidRDefault="008B1995" w:rsidP="008B1995">
      <w:pPr>
        <w:rPr>
          <w:szCs w:val="22"/>
          <w:lang w:eastAsia="ja-JP"/>
        </w:rPr>
      </w:pPr>
      <w:r>
        <w:rPr>
          <w:rFonts w:hint="eastAsia"/>
          <w:szCs w:val="22"/>
          <w:lang w:eastAsia="ja-JP"/>
        </w:rPr>
        <w:t>I</w:t>
      </w:r>
      <w:r>
        <w:rPr>
          <w:szCs w:val="22"/>
          <w:lang w:eastAsia="ja-JP"/>
        </w:rPr>
        <w:t xml:space="preserve">n RAN2 #123, </w:t>
      </w:r>
      <w:r w:rsidR="00DA3618">
        <w:rPr>
          <w:szCs w:val="22"/>
          <w:lang w:eastAsia="ja-JP"/>
        </w:rPr>
        <w:t xml:space="preserve">the </w:t>
      </w:r>
      <w:r>
        <w:rPr>
          <w:szCs w:val="22"/>
          <w:lang w:eastAsia="ja-JP"/>
        </w:rPr>
        <w:t>following agreement was made</w:t>
      </w:r>
      <w:r w:rsidR="007507A2">
        <w:rPr>
          <w:szCs w:val="22"/>
          <w:lang w:eastAsia="ja-JP"/>
        </w:rPr>
        <w:t>[2]</w:t>
      </w:r>
      <w:r>
        <w:rPr>
          <w:szCs w:val="22"/>
          <w:lang w:eastAsia="ja-JP"/>
        </w:rPr>
        <w:t>.</w:t>
      </w:r>
    </w:p>
    <w:p w14:paraId="6C283C8F" w14:textId="77777777" w:rsidR="008B1995" w:rsidRDefault="008B1995" w:rsidP="008B1995">
      <w:pPr>
        <w:pBdr>
          <w:top w:val="single" w:sz="4" w:space="1" w:color="auto"/>
          <w:left w:val="single" w:sz="4" w:space="4" w:color="auto"/>
          <w:bottom w:val="single" w:sz="4" w:space="1" w:color="auto"/>
          <w:right w:val="single" w:sz="4" w:space="4" w:color="auto"/>
        </w:pBdr>
        <w:ind w:left="363" w:hanging="363"/>
      </w:pPr>
      <w:r w:rsidRPr="4FD25CE0">
        <w:rPr>
          <w:rFonts w:eastAsia="Arial" w:cs="Arial"/>
          <w:b/>
          <w:bCs/>
          <w:noProof/>
        </w:rPr>
        <w:t>Agreements</w:t>
      </w:r>
    </w:p>
    <w:p w14:paraId="5EA8228C" w14:textId="77777777" w:rsidR="008B1995" w:rsidRDefault="008B1995" w:rsidP="008B1995">
      <w:pPr>
        <w:pBdr>
          <w:top w:val="single" w:sz="4" w:space="1" w:color="auto"/>
          <w:left w:val="single" w:sz="4" w:space="4" w:color="auto"/>
          <w:bottom w:val="single" w:sz="4" w:space="1" w:color="auto"/>
          <w:right w:val="single" w:sz="4" w:space="4" w:color="auto"/>
        </w:pBdr>
        <w:ind w:left="363" w:hanging="363"/>
      </w:pPr>
      <w:r w:rsidRPr="4FD25CE0">
        <w:rPr>
          <w:rFonts w:eastAsia="Arial" w:cs="Arial"/>
          <w:noProof/>
        </w:rPr>
        <w:t>-</w:t>
      </w:r>
      <w:r>
        <w:tab/>
      </w:r>
      <w:r w:rsidRPr="4FD25CE0">
        <w:rPr>
          <w:rFonts w:eastAsia="Arial" w:cs="Arial"/>
          <w:noProof/>
        </w:rP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73424493" w14:textId="77777777" w:rsidR="008B1995" w:rsidRDefault="008B1995" w:rsidP="008B1995">
      <w:pPr>
        <w:pBdr>
          <w:top w:val="single" w:sz="4" w:space="1" w:color="auto"/>
          <w:left w:val="single" w:sz="4" w:space="4" w:color="auto"/>
          <w:bottom w:val="single" w:sz="4" w:space="1" w:color="auto"/>
          <w:right w:val="single" w:sz="4" w:space="4" w:color="auto"/>
        </w:pBdr>
        <w:ind w:left="363" w:hanging="363"/>
      </w:pPr>
      <w:r w:rsidRPr="4FD25CE0">
        <w:rPr>
          <w:rFonts w:eastAsia="Arial" w:cs="Arial"/>
          <w:noProof/>
        </w:rPr>
        <w:t>-</w:t>
      </w:r>
      <w:r>
        <w:tab/>
      </w:r>
      <w:r w:rsidRPr="4FD25CE0">
        <w:rPr>
          <w:rFonts w:eastAsia="Arial" w:cs="Arial"/>
          <w:noProof/>
        </w:rPr>
        <w:t xml:space="preserve">No new cell baring techniques for non-NES UEs will be specified.  </w:t>
      </w:r>
    </w:p>
    <w:p w14:paraId="504DB4EF" w14:textId="77777777" w:rsidR="008B1995" w:rsidRDefault="008B1995" w:rsidP="008B1995">
      <w:pPr>
        <w:pBdr>
          <w:top w:val="single" w:sz="4" w:space="1" w:color="auto"/>
          <w:left w:val="single" w:sz="4" w:space="4" w:color="auto"/>
          <w:bottom w:val="single" w:sz="4" w:space="1" w:color="auto"/>
          <w:right w:val="single" w:sz="4" w:space="4" w:color="auto"/>
        </w:pBdr>
        <w:ind w:left="363" w:hanging="363"/>
        <w:rPr>
          <w:rFonts w:eastAsia="Arial" w:cs="Arial"/>
          <w:noProof/>
        </w:rPr>
      </w:pPr>
      <w:r w:rsidRPr="4FD25CE0">
        <w:rPr>
          <w:rFonts w:eastAsia="Arial" w:cs="Arial"/>
          <w:noProof/>
        </w:rPr>
        <w:t>-</w:t>
      </w:r>
      <w:r>
        <w:tab/>
      </w:r>
      <w:r w:rsidRPr="4FD25CE0">
        <w:rPr>
          <w:rFonts w:eastAsia="Arial" w:cs="Arial"/>
          <w:noProof/>
        </w:rPr>
        <w:t>No new cell re-selection techniques will be considered in this Rel-18</w:t>
      </w:r>
    </w:p>
    <w:p w14:paraId="213A7BCE" w14:textId="77777777" w:rsidR="008B1995" w:rsidRDefault="008B1995" w:rsidP="00C639CE">
      <w:pPr>
        <w:rPr>
          <w:szCs w:val="22"/>
          <w:lang w:eastAsia="ja-JP"/>
        </w:rPr>
      </w:pPr>
    </w:p>
    <w:p w14:paraId="7AE27467" w14:textId="5897943C" w:rsidR="00D734FE" w:rsidRDefault="00D734FE" w:rsidP="00C639CE">
      <w:pPr>
        <w:rPr>
          <w:szCs w:val="22"/>
          <w:lang w:eastAsia="ja-JP"/>
        </w:rPr>
      </w:pPr>
      <w:r>
        <w:rPr>
          <w:rFonts w:hint="eastAsia"/>
          <w:szCs w:val="22"/>
          <w:lang w:eastAsia="ja-JP"/>
        </w:rPr>
        <w:t>A</w:t>
      </w:r>
      <w:r>
        <w:rPr>
          <w:szCs w:val="22"/>
          <w:lang w:eastAsia="ja-JP"/>
        </w:rPr>
        <w:t xml:space="preserve">nd </w:t>
      </w:r>
      <w:r w:rsidR="006C3ABC">
        <w:rPr>
          <w:szCs w:val="22"/>
          <w:lang w:eastAsia="ja-JP"/>
        </w:rPr>
        <w:t xml:space="preserve">the </w:t>
      </w:r>
      <w:r>
        <w:rPr>
          <w:szCs w:val="22"/>
          <w:lang w:eastAsia="ja-JP"/>
        </w:rPr>
        <w:t xml:space="preserve">rapporteur shared </w:t>
      </w:r>
      <w:r w:rsidR="00CE0DB4">
        <w:rPr>
          <w:szCs w:val="22"/>
          <w:lang w:eastAsia="ja-JP"/>
        </w:rPr>
        <w:t xml:space="preserve">the </w:t>
      </w:r>
      <w:r>
        <w:rPr>
          <w:szCs w:val="22"/>
          <w:lang w:eastAsia="ja-JP"/>
        </w:rPr>
        <w:t xml:space="preserve">remaining </w:t>
      </w:r>
      <w:r w:rsidR="00CE0DB4">
        <w:rPr>
          <w:szCs w:val="22"/>
          <w:lang w:eastAsia="ja-JP"/>
        </w:rPr>
        <w:t xml:space="preserve">issues for NES </w:t>
      </w:r>
      <w:r w:rsidR="001F2167">
        <w:rPr>
          <w:szCs w:val="22"/>
          <w:lang w:eastAsia="ja-JP"/>
        </w:rPr>
        <w:t>regarding TS38.304 as follow;</w:t>
      </w:r>
    </w:p>
    <w:p w14:paraId="3BBB7C4D" w14:textId="77777777" w:rsidR="008B1995" w:rsidRDefault="008B1995" w:rsidP="008B1995">
      <w:pPr>
        <w:numPr>
          <w:ilvl w:val="0"/>
          <w:numId w:val="30"/>
        </w:numPr>
        <w:spacing w:before="100" w:beforeAutospacing="1" w:after="100" w:afterAutospacing="1"/>
        <w:rPr>
          <w:rFonts w:eastAsia="ＭＳ Ｐゴシック"/>
          <w:sz w:val="24"/>
          <w:lang w:val="en-US" w:eastAsia="ja-JP"/>
        </w:rPr>
      </w:pPr>
      <w:r>
        <w:rPr>
          <w:rFonts w:ascii="Calibri" w:hAnsi="Calibri" w:cs="Calibri"/>
        </w:rPr>
        <w:t>Issue 1: Definition of “NES capable UE” and how to capture it in TS 38.304</w:t>
      </w:r>
    </w:p>
    <w:p w14:paraId="229C7B6D" w14:textId="77777777" w:rsidR="008B1995" w:rsidRDefault="008B1995" w:rsidP="008B1995">
      <w:pPr>
        <w:numPr>
          <w:ilvl w:val="0"/>
          <w:numId w:val="30"/>
        </w:numPr>
        <w:spacing w:before="100" w:beforeAutospacing="1" w:after="100" w:afterAutospacing="1"/>
      </w:pPr>
      <w:r>
        <w:rPr>
          <w:rFonts w:ascii="Calibri" w:hAnsi="Calibri" w:cs="Calibri"/>
        </w:rPr>
        <w:t>Issue 2: Whether to capture </w:t>
      </w:r>
      <w:r>
        <w:rPr>
          <w:sz w:val="20"/>
        </w:rPr>
        <w:t> </w:t>
      </w:r>
      <w:r>
        <w:rPr>
          <w:rFonts w:ascii="HelveticaNeue" w:hAnsi="HelveticaNeue"/>
        </w:rPr>
        <w:t>"This field is ignored by NES capable UEs while </w:t>
      </w:r>
      <w:r>
        <w:rPr>
          <w:rFonts w:ascii="HelveticaNeue" w:hAnsi="HelveticaNeue"/>
          <w:i/>
          <w:iCs/>
        </w:rPr>
        <w:t>cellBarredNES</w:t>
      </w:r>
      <w:r>
        <w:rPr>
          <w:rFonts w:ascii="HelveticaNeue" w:hAnsi="HelveticaNeue"/>
        </w:rPr>
        <w:t> is included in SIB1."  under </w:t>
      </w:r>
      <w:r>
        <w:rPr>
          <w:rFonts w:ascii="HelveticaNeue" w:hAnsi="HelveticaNeue"/>
          <w:i/>
          <w:iCs/>
        </w:rPr>
        <w:t>cellBarred </w:t>
      </w:r>
      <w:r>
        <w:rPr>
          <w:rFonts w:ascii="HelveticaNeue" w:hAnsi="HelveticaNeue"/>
        </w:rPr>
        <w:t>bullet.</w:t>
      </w:r>
    </w:p>
    <w:p w14:paraId="13ABC389" w14:textId="0B40AAE0" w:rsidR="008B1995" w:rsidRPr="007507A2" w:rsidRDefault="008B1995" w:rsidP="00C639CE">
      <w:pPr>
        <w:numPr>
          <w:ilvl w:val="1"/>
          <w:numId w:val="30"/>
        </w:numPr>
        <w:spacing w:before="100" w:beforeAutospacing="1" w:after="100" w:afterAutospacing="1"/>
      </w:pPr>
      <w:r>
        <w:rPr>
          <w:rFonts w:ascii="HelveticaNeue" w:hAnsi="HelveticaNeue"/>
        </w:rPr>
        <w:t>During discussion, 2 companies made this suggestion. However, Rapporteur is not sure whether it will imply new UE behavior like "first read SIB1 for cellBarredNES, and then read MIB for cellBarred” or "first read MIB for cellBarred but just store (not apply), then read SIB1 for cellBarredNES, and finally decide whether to apply cellBarred or not”. So, </w:t>
      </w:r>
      <w:r>
        <w:rPr>
          <w:rFonts w:ascii="Calibri" w:hAnsi="Calibri" w:cs="Calibri"/>
        </w:rPr>
        <w:t>suggest to list it as an open issue for discussion.</w:t>
      </w:r>
    </w:p>
    <w:p w14:paraId="740DBD81" w14:textId="5A50897E" w:rsidR="002305A6" w:rsidRPr="007507A2" w:rsidRDefault="00C639CE" w:rsidP="007E2FC8">
      <w:pPr>
        <w:rPr>
          <w:lang w:eastAsia="ja-JP"/>
        </w:rPr>
      </w:pPr>
      <w:r w:rsidRPr="00440A84">
        <w:rPr>
          <w:szCs w:val="22"/>
          <w:lang w:eastAsia="ja-JP"/>
        </w:rPr>
        <w:t xml:space="preserve">In this contribution, we describe </w:t>
      </w:r>
      <w:r>
        <w:rPr>
          <w:szCs w:val="22"/>
          <w:lang w:eastAsia="ja-JP"/>
        </w:rPr>
        <w:t xml:space="preserve">on our view </w:t>
      </w:r>
      <w:r w:rsidR="001F2167">
        <w:rPr>
          <w:szCs w:val="22"/>
          <w:lang w:eastAsia="ja-JP"/>
        </w:rPr>
        <w:t xml:space="preserve">for </w:t>
      </w:r>
      <w:r w:rsidR="0040449D">
        <w:rPr>
          <w:szCs w:val="22"/>
          <w:lang w:eastAsia="ja-JP"/>
        </w:rPr>
        <w:t>above remining issues.</w:t>
      </w:r>
    </w:p>
    <w:p w14:paraId="375CDE38" w14:textId="77777777" w:rsidR="007E2FC8" w:rsidRDefault="007E2FC8" w:rsidP="007E2FC8">
      <w:pPr>
        <w:pStyle w:val="2"/>
        <w:numPr>
          <w:ilvl w:val="0"/>
          <w:numId w:val="2"/>
        </w:numPr>
        <w:rPr>
          <w:lang w:eastAsia="ja-JP"/>
        </w:rPr>
      </w:pPr>
      <w:r>
        <w:rPr>
          <w:rFonts w:hint="eastAsia"/>
          <w:lang w:eastAsia="ja-JP"/>
        </w:rPr>
        <w:t>Discussion</w:t>
      </w:r>
    </w:p>
    <w:p w14:paraId="5F5DB7C0" w14:textId="08FE1C46" w:rsidR="0040449D" w:rsidRDefault="00856A0E" w:rsidP="0040449D">
      <w:pPr>
        <w:pStyle w:val="2"/>
        <w:numPr>
          <w:ilvl w:val="1"/>
          <w:numId w:val="2"/>
        </w:numPr>
        <w:rPr>
          <w:lang w:eastAsia="ja-JP"/>
        </w:rPr>
      </w:pPr>
      <w:r>
        <w:rPr>
          <w:lang w:eastAsia="ja-JP"/>
        </w:rPr>
        <w:t>“</w:t>
      </w:r>
      <w:r w:rsidR="007D4E40">
        <w:rPr>
          <w:lang w:eastAsia="ja-JP"/>
        </w:rPr>
        <w:t>CellBared” handling for NES capability UE</w:t>
      </w:r>
    </w:p>
    <w:p w14:paraId="475FF651" w14:textId="12966B79" w:rsidR="00035504" w:rsidRDefault="00035504" w:rsidP="00035504">
      <w:pPr>
        <w:rPr>
          <w:lang w:eastAsia="ja-JP"/>
        </w:rPr>
      </w:pPr>
      <w:r>
        <w:rPr>
          <w:lang w:eastAsia="ja-JP"/>
        </w:rPr>
        <w:t xml:space="preserve">As described in the WID, the purpose of adding </w:t>
      </w:r>
      <w:r w:rsidR="00AF7C38" w:rsidRPr="00AF7C38">
        <w:rPr>
          <w:i/>
          <w:iCs/>
          <w:lang w:eastAsia="ja-JP"/>
        </w:rPr>
        <w:t>c</w:t>
      </w:r>
      <w:r w:rsidRPr="00AF7C38">
        <w:rPr>
          <w:i/>
          <w:iCs/>
          <w:lang w:eastAsia="ja-JP"/>
        </w:rPr>
        <w:t>ellBaredNES</w:t>
      </w:r>
      <w:r>
        <w:rPr>
          <w:lang w:eastAsia="ja-JP"/>
        </w:rPr>
        <w:t xml:space="preserve"> is to exclude Legacy UE from the cells where Rel-18 NES technology is applied, not to exclude NES capable UE from a specific cell. Therefore, it is necessary to use a combination of </w:t>
      </w:r>
      <w:r w:rsidR="00AF7C38" w:rsidRPr="00AF7C38">
        <w:rPr>
          <w:i/>
          <w:iCs/>
          <w:lang w:eastAsia="ja-JP"/>
        </w:rPr>
        <w:t>c</w:t>
      </w:r>
      <w:r w:rsidRPr="00AF7C38">
        <w:rPr>
          <w:i/>
          <w:iCs/>
          <w:lang w:eastAsia="ja-JP"/>
        </w:rPr>
        <w:t>ellBarred</w:t>
      </w:r>
      <w:r>
        <w:rPr>
          <w:lang w:eastAsia="ja-JP"/>
        </w:rPr>
        <w:t xml:space="preserve"> behavior in MIB to prevent Legacy UEs</w:t>
      </w:r>
      <w:r w:rsidR="00AF7C38">
        <w:rPr>
          <w:lang w:eastAsia="ja-JP"/>
        </w:rPr>
        <w:t xml:space="preserve"> </w:t>
      </w:r>
      <w:r>
        <w:rPr>
          <w:lang w:eastAsia="ja-JP"/>
        </w:rPr>
        <w:t>from camping in the cell.</w:t>
      </w:r>
    </w:p>
    <w:p w14:paraId="656CC1A4" w14:textId="77777777" w:rsidR="00035504" w:rsidRDefault="00035504" w:rsidP="00035504">
      <w:pPr>
        <w:rPr>
          <w:lang w:eastAsia="ja-JP"/>
        </w:rPr>
      </w:pPr>
      <w:r>
        <w:rPr>
          <w:lang w:eastAsia="ja-JP"/>
        </w:rPr>
        <w:t>It is assumed that the following actions will be taken in the same way as the NTN behavior.</w:t>
      </w:r>
    </w:p>
    <w:p w14:paraId="3D69C09B" w14:textId="1E1094F9" w:rsidR="00505E5E" w:rsidRDefault="00505E5E" w:rsidP="00505E5E">
      <w:pPr>
        <w:pStyle w:val="aa"/>
        <w:numPr>
          <w:ilvl w:val="0"/>
          <w:numId w:val="33"/>
        </w:numPr>
        <w:ind w:leftChars="0"/>
        <w:rPr>
          <w:lang w:eastAsia="ja-JP"/>
        </w:rPr>
      </w:pPr>
      <w:r w:rsidRPr="00505E5E">
        <w:rPr>
          <w:lang w:eastAsia="ja-JP"/>
        </w:rPr>
        <w:lastRenderedPageBreak/>
        <w:t xml:space="preserve">If </w:t>
      </w:r>
      <w:r w:rsidR="00AF7C38" w:rsidRPr="00AF7C38">
        <w:rPr>
          <w:i/>
          <w:iCs/>
          <w:lang w:eastAsia="ja-JP"/>
        </w:rPr>
        <w:t>c</w:t>
      </w:r>
      <w:r w:rsidRPr="00AF7C38">
        <w:rPr>
          <w:i/>
          <w:iCs/>
          <w:lang w:eastAsia="ja-JP"/>
        </w:rPr>
        <w:t>ellBarredNES</w:t>
      </w:r>
      <w:r w:rsidRPr="00505E5E">
        <w:rPr>
          <w:lang w:eastAsia="ja-JP"/>
        </w:rPr>
        <w:t xml:space="preserve"> is present in SIB1, the NES capable UE ignores </w:t>
      </w:r>
      <w:r w:rsidR="00AF7C38">
        <w:rPr>
          <w:i/>
          <w:iCs/>
          <w:lang w:eastAsia="ja-JP"/>
        </w:rPr>
        <w:t>c</w:t>
      </w:r>
      <w:r w:rsidRPr="00AF7C38">
        <w:rPr>
          <w:i/>
          <w:iCs/>
          <w:lang w:eastAsia="ja-JP"/>
        </w:rPr>
        <w:t>ell</w:t>
      </w:r>
      <w:r w:rsidR="00AF7C38" w:rsidRPr="00AF7C38">
        <w:rPr>
          <w:i/>
          <w:iCs/>
          <w:lang w:eastAsia="ja-JP"/>
        </w:rPr>
        <w:t>B</w:t>
      </w:r>
      <w:r w:rsidRPr="00AF7C38">
        <w:rPr>
          <w:i/>
          <w:iCs/>
          <w:lang w:eastAsia="ja-JP"/>
        </w:rPr>
        <w:t>arred</w:t>
      </w:r>
      <w:r w:rsidRPr="00505E5E">
        <w:rPr>
          <w:lang w:eastAsia="ja-JP"/>
        </w:rPr>
        <w:t xml:space="preserve"> in MIB and follows </w:t>
      </w:r>
      <w:r w:rsidR="00AF7C38" w:rsidRPr="00AF7C38">
        <w:rPr>
          <w:i/>
          <w:iCs/>
          <w:lang w:eastAsia="ja-JP"/>
        </w:rPr>
        <w:t>c</w:t>
      </w:r>
      <w:r w:rsidRPr="00AF7C38">
        <w:rPr>
          <w:i/>
          <w:iCs/>
          <w:lang w:eastAsia="ja-JP"/>
        </w:rPr>
        <w:t>ellBarredNES</w:t>
      </w:r>
      <w:r w:rsidRPr="00505E5E">
        <w:rPr>
          <w:lang w:eastAsia="ja-JP"/>
        </w:rPr>
        <w:t xml:space="preserve"> in SIB1. This is exactly the behavior to achieve the objective of excluding Legacy UEs from cells and camping only NES capable UEs to improve the gain of NES technology.</w:t>
      </w:r>
    </w:p>
    <w:p w14:paraId="5C5871C2" w14:textId="5B798E9F" w:rsidR="00B2302F" w:rsidRDefault="00B2302F" w:rsidP="00B2302F">
      <w:pPr>
        <w:pStyle w:val="aa"/>
        <w:numPr>
          <w:ilvl w:val="0"/>
          <w:numId w:val="33"/>
        </w:numPr>
        <w:ind w:leftChars="0"/>
        <w:rPr>
          <w:lang w:eastAsia="ja-JP"/>
        </w:rPr>
      </w:pPr>
      <w:r w:rsidRPr="00B2302F">
        <w:rPr>
          <w:lang w:eastAsia="ja-JP"/>
        </w:rPr>
        <w:t xml:space="preserve">If </w:t>
      </w:r>
      <w:r w:rsidR="00AF7C38" w:rsidRPr="00AF7C38">
        <w:rPr>
          <w:i/>
          <w:iCs/>
          <w:lang w:eastAsia="ja-JP"/>
        </w:rPr>
        <w:t>c</w:t>
      </w:r>
      <w:r w:rsidRPr="00AF7C38">
        <w:rPr>
          <w:i/>
          <w:iCs/>
          <w:lang w:eastAsia="ja-JP"/>
        </w:rPr>
        <w:t>ellBarredNES</w:t>
      </w:r>
      <w:r w:rsidRPr="00B2302F">
        <w:rPr>
          <w:lang w:eastAsia="ja-JP"/>
        </w:rPr>
        <w:t xml:space="preserve"> is not present in SIB1, NES capable UEs should not ignore </w:t>
      </w:r>
      <w:r w:rsidR="00AF7C38">
        <w:rPr>
          <w:i/>
          <w:iCs/>
          <w:lang w:eastAsia="ja-JP"/>
        </w:rPr>
        <w:t>c</w:t>
      </w:r>
      <w:r w:rsidRPr="00AF7C38">
        <w:rPr>
          <w:i/>
          <w:iCs/>
          <w:lang w:eastAsia="ja-JP"/>
        </w:rPr>
        <w:t>ell</w:t>
      </w:r>
      <w:r w:rsidR="00AF7C38" w:rsidRPr="00AF7C38">
        <w:rPr>
          <w:i/>
          <w:iCs/>
          <w:lang w:eastAsia="ja-JP"/>
        </w:rPr>
        <w:t>B</w:t>
      </w:r>
      <w:r w:rsidRPr="00AF7C38">
        <w:rPr>
          <w:i/>
          <w:iCs/>
          <w:lang w:eastAsia="ja-JP"/>
        </w:rPr>
        <w:t>arred</w:t>
      </w:r>
      <w:r w:rsidRPr="00B2302F">
        <w:rPr>
          <w:lang w:eastAsia="ja-JP"/>
        </w:rPr>
        <w:t xml:space="preserve"> in MIB. The NES capable UE should act in the same way as a Legacy UE, assuming that NES technology is not applied to this cell.</w:t>
      </w:r>
    </w:p>
    <w:p w14:paraId="45B8DCA2" w14:textId="51A18CCC" w:rsidR="00CD13B7" w:rsidRDefault="00CD13B7" w:rsidP="00CD13B7">
      <w:pPr>
        <w:rPr>
          <w:lang w:eastAsia="ja-JP"/>
        </w:rPr>
      </w:pPr>
      <w:r w:rsidRPr="00CD13B7">
        <w:rPr>
          <w:lang w:eastAsia="ja-JP"/>
        </w:rPr>
        <w:t>The above behavior is summarized in the figure.</w:t>
      </w:r>
    </w:p>
    <w:p w14:paraId="26943B64" w14:textId="2EF1208B" w:rsidR="00D83587" w:rsidRDefault="00AF7C38" w:rsidP="005408FC">
      <w:pPr>
        <w:rPr>
          <w:szCs w:val="22"/>
          <w:lang w:eastAsia="ja-JP"/>
        </w:rPr>
      </w:pPr>
      <w:r>
        <w:rPr>
          <w:noProof/>
          <w:szCs w:val="22"/>
          <w:lang w:eastAsia="ja-JP"/>
        </w:rPr>
        <w:drawing>
          <wp:inline distT="0" distB="0" distL="0" distR="0" wp14:anchorId="1D22788E" wp14:editId="0BAA5261">
            <wp:extent cx="6697535" cy="323009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20948" cy="3241382"/>
                    </a:xfrm>
                    <a:prstGeom prst="rect">
                      <a:avLst/>
                    </a:prstGeom>
                    <a:noFill/>
                    <a:ln>
                      <a:noFill/>
                    </a:ln>
                  </pic:spPr>
                </pic:pic>
              </a:graphicData>
            </a:graphic>
          </wp:inline>
        </w:drawing>
      </w:r>
    </w:p>
    <w:p w14:paraId="50C383E2" w14:textId="62F65F89" w:rsidR="00D83587" w:rsidRDefault="00190F58" w:rsidP="007905F4">
      <w:pPr>
        <w:jc w:val="center"/>
        <w:rPr>
          <w:b/>
          <w:bCs/>
          <w:szCs w:val="22"/>
          <w:lang w:eastAsia="ja-JP"/>
        </w:rPr>
      </w:pPr>
      <w:r w:rsidRPr="00E0558F">
        <w:rPr>
          <w:rFonts w:hint="eastAsia"/>
          <w:b/>
          <w:bCs/>
          <w:szCs w:val="22"/>
          <w:lang w:eastAsia="ja-JP"/>
        </w:rPr>
        <w:t>Figure</w:t>
      </w:r>
      <w:r w:rsidRPr="00E0558F">
        <w:rPr>
          <w:b/>
          <w:bCs/>
          <w:szCs w:val="22"/>
          <w:lang w:eastAsia="ja-JP"/>
        </w:rPr>
        <w:t xml:space="preserve">: </w:t>
      </w:r>
      <w:r w:rsidR="00616900" w:rsidRPr="00E0558F">
        <w:rPr>
          <w:b/>
          <w:bCs/>
          <w:szCs w:val="22"/>
          <w:lang w:eastAsia="ja-JP"/>
        </w:rPr>
        <w:t xml:space="preserve">Assumption of NES-capable UE behavior for </w:t>
      </w:r>
      <w:r w:rsidR="00AF7C38" w:rsidRPr="00AF7C38">
        <w:rPr>
          <w:b/>
          <w:bCs/>
          <w:i/>
          <w:iCs/>
          <w:szCs w:val="22"/>
          <w:lang w:eastAsia="ja-JP"/>
        </w:rPr>
        <w:t>c</w:t>
      </w:r>
      <w:r w:rsidR="00616900" w:rsidRPr="00AF7C38">
        <w:rPr>
          <w:b/>
          <w:bCs/>
          <w:i/>
          <w:iCs/>
          <w:szCs w:val="22"/>
          <w:lang w:eastAsia="ja-JP"/>
        </w:rPr>
        <w:t>ellBarredN</w:t>
      </w:r>
      <w:r w:rsidR="00AF7C38" w:rsidRPr="00AF7C38">
        <w:rPr>
          <w:b/>
          <w:bCs/>
          <w:i/>
          <w:iCs/>
          <w:szCs w:val="22"/>
          <w:lang w:eastAsia="ja-JP"/>
        </w:rPr>
        <w:t>ES</w:t>
      </w:r>
      <w:r w:rsidR="00616900" w:rsidRPr="00E0558F">
        <w:rPr>
          <w:b/>
          <w:bCs/>
          <w:szCs w:val="22"/>
          <w:lang w:eastAsia="ja-JP"/>
        </w:rPr>
        <w:t xml:space="preserve"> and </w:t>
      </w:r>
      <w:r w:rsidR="00AF7C38" w:rsidRPr="00AF7C38">
        <w:rPr>
          <w:b/>
          <w:bCs/>
          <w:i/>
          <w:iCs/>
          <w:szCs w:val="22"/>
          <w:lang w:eastAsia="ja-JP"/>
        </w:rPr>
        <w:t>c</w:t>
      </w:r>
      <w:r w:rsidR="00616900" w:rsidRPr="00AF7C38">
        <w:rPr>
          <w:b/>
          <w:bCs/>
          <w:i/>
          <w:iCs/>
          <w:szCs w:val="22"/>
          <w:lang w:eastAsia="ja-JP"/>
        </w:rPr>
        <w:t>ellBarred</w:t>
      </w:r>
    </w:p>
    <w:p w14:paraId="7E5DEE35" w14:textId="77777777" w:rsidR="00E0558F" w:rsidRPr="00E0558F" w:rsidRDefault="00E0558F" w:rsidP="007905F4">
      <w:pPr>
        <w:jc w:val="center"/>
        <w:rPr>
          <w:b/>
          <w:bCs/>
          <w:szCs w:val="22"/>
          <w:lang w:eastAsia="ja-JP"/>
        </w:rPr>
      </w:pPr>
    </w:p>
    <w:p w14:paraId="364AB1D8" w14:textId="559C0CE4" w:rsidR="00A360EC" w:rsidRPr="00CD13B7" w:rsidRDefault="00A360EC" w:rsidP="00CD13B7">
      <w:pPr>
        <w:ind w:leftChars="1" w:left="1133" w:hangingChars="512" w:hanging="1131"/>
        <w:rPr>
          <w:b/>
          <w:bCs/>
          <w:szCs w:val="22"/>
          <w:lang w:eastAsia="ja-JP"/>
        </w:rPr>
      </w:pPr>
      <w:r w:rsidRPr="00CD13B7">
        <w:rPr>
          <w:rFonts w:hint="eastAsia"/>
          <w:b/>
          <w:bCs/>
          <w:szCs w:val="22"/>
          <w:lang w:eastAsia="ja-JP"/>
        </w:rPr>
        <w:t>P</w:t>
      </w:r>
      <w:r w:rsidRPr="00CD13B7">
        <w:rPr>
          <w:b/>
          <w:bCs/>
          <w:szCs w:val="22"/>
          <w:lang w:eastAsia="ja-JP"/>
        </w:rPr>
        <w:t>roposal 1:</w:t>
      </w:r>
      <w:r w:rsidR="00CD13B7" w:rsidRPr="00CD13B7">
        <w:rPr>
          <w:b/>
          <w:bCs/>
          <w:szCs w:val="22"/>
          <w:lang w:eastAsia="ja-JP"/>
        </w:rPr>
        <w:t xml:space="preserve"> </w:t>
      </w:r>
      <w:r w:rsidR="00CD13B7" w:rsidRPr="00CD13B7">
        <w:rPr>
          <w:b/>
          <w:bCs/>
          <w:lang w:eastAsia="ja-JP"/>
        </w:rPr>
        <w:t xml:space="preserve">If </w:t>
      </w:r>
      <w:r w:rsidR="00CD13B7" w:rsidRPr="00AF7C38">
        <w:rPr>
          <w:b/>
          <w:bCs/>
          <w:i/>
          <w:iCs/>
          <w:lang w:eastAsia="ja-JP"/>
        </w:rPr>
        <w:t>cellBarredNES</w:t>
      </w:r>
      <w:r w:rsidR="00CD13B7" w:rsidRPr="00CD13B7">
        <w:rPr>
          <w:b/>
          <w:bCs/>
          <w:lang w:eastAsia="ja-JP"/>
        </w:rPr>
        <w:t xml:space="preserve"> is present in SIB1, the NES capable UE ignores </w:t>
      </w:r>
      <w:r w:rsidR="00AF7C38">
        <w:rPr>
          <w:b/>
          <w:bCs/>
          <w:i/>
          <w:iCs/>
          <w:lang w:eastAsia="ja-JP"/>
        </w:rPr>
        <w:t>c</w:t>
      </w:r>
      <w:r w:rsidR="00CD13B7" w:rsidRPr="00AF7C38">
        <w:rPr>
          <w:b/>
          <w:bCs/>
          <w:i/>
          <w:iCs/>
          <w:lang w:eastAsia="ja-JP"/>
        </w:rPr>
        <w:t>ell</w:t>
      </w:r>
      <w:r w:rsidR="00AF7C38">
        <w:rPr>
          <w:b/>
          <w:bCs/>
          <w:i/>
          <w:iCs/>
          <w:lang w:eastAsia="ja-JP"/>
        </w:rPr>
        <w:t>B</w:t>
      </w:r>
      <w:r w:rsidR="00CD13B7" w:rsidRPr="00AF7C38">
        <w:rPr>
          <w:b/>
          <w:bCs/>
          <w:i/>
          <w:iCs/>
          <w:lang w:eastAsia="ja-JP"/>
        </w:rPr>
        <w:t>arred</w:t>
      </w:r>
      <w:r w:rsidR="00CD13B7" w:rsidRPr="00CD13B7">
        <w:rPr>
          <w:b/>
          <w:bCs/>
          <w:lang w:eastAsia="ja-JP"/>
        </w:rPr>
        <w:t xml:space="preserve"> in MIB and follows </w:t>
      </w:r>
      <w:r w:rsidR="00AF7C38">
        <w:rPr>
          <w:b/>
          <w:bCs/>
          <w:i/>
          <w:iCs/>
          <w:lang w:eastAsia="ja-JP"/>
        </w:rPr>
        <w:t>c</w:t>
      </w:r>
      <w:r w:rsidR="00CD13B7" w:rsidRPr="00AF7C38">
        <w:rPr>
          <w:b/>
          <w:bCs/>
          <w:i/>
          <w:iCs/>
          <w:lang w:eastAsia="ja-JP"/>
        </w:rPr>
        <w:t>ellBarredNES</w:t>
      </w:r>
      <w:r w:rsidR="00CD13B7" w:rsidRPr="00CD13B7">
        <w:rPr>
          <w:b/>
          <w:bCs/>
          <w:lang w:eastAsia="ja-JP"/>
        </w:rPr>
        <w:t xml:space="preserve"> in SIB1. If </w:t>
      </w:r>
      <w:r w:rsidR="00AF7C38" w:rsidRPr="00AF7C38">
        <w:rPr>
          <w:b/>
          <w:bCs/>
          <w:i/>
          <w:iCs/>
          <w:lang w:eastAsia="ja-JP"/>
        </w:rPr>
        <w:t>c</w:t>
      </w:r>
      <w:r w:rsidR="00CD13B7" w:rsidRPr="00AF7C38">
        <w:rPr>
          <w:b/>
          <w:bCs/>
          <w:i/>
          <w:iCs/>
          <w:lang w:eastAsia="ja-JP"/>
        </w:rPr>
        <w:t>ellBarredNES</w:t>
      </w:r>
      <w:r w:rsidR="00CD13B7" w:rsidRPr="00CD13B7">
        <w:rPr>
          <w:b/>
          <w:bCs/>
          <w:lang w:eastAsia="ja-JP"/>
        </w:rPr>
        <w:t xml:space="preserve"> is not present in SIB1, NES capable UEs should not ignore </w:t>
      </w:r>
      <w:r w:rsidR="00AF7C38" w:rsidRPr="00AF7C38">
        <w:rPr>
          <w:b/>
          <w:bCs/>
          <w:i/>
          <w:iCs/>
          <w:lang w:eastAsia="ja-JP"/>
        </w:rPr>
        <w:t>c</w:t>
      </w:r>
      <w:r w:rsidR="00CD13B7" w:rsidRPr="00AF7C38">
        <w:rPr>
          <w:b/>
          <w:bCs/>
          <w:i/>
          <w:iCs/>
          <w:lang w:eastAsia="ja-JP"/>
        </w:rPr>
        <w:t>ell</w:t>
      </w:r>
      <w:r w:rsidR="00AF7C38">
        <w:rPr>
          <w:b/>
          <w:bCs/>
          <w:i/>
          <w:iCs/>
          <w:lang w:eastAsia="ja-JP"/>
        </w:rPr>
        <w:t>B</w:t>
      </w:r>
      <w:r w:rsidR="00CD13B7" w:rsidRPr="00AF7C38">
        <w:rPr>
          <w:b/>
          <w:bCs/>
          <w:i/>
          <w:iCs/>
          <w:lang w:eastAsia="ja-JP"/>
        </w:rPr>
        <w:t>arred</w:t>
      </w:r>
      <w:r w:rsidR="00CD13B7" w:rsidRPr="00CD13B7">
        <w:rPr>
          <w:b/>
          <w:bCs/>
          <w:lang w:eastAsia="ja-JP"/>
        </w:rPr>
        <w:t xml:space="preserve"> in MIB.</w:t>
      </w:r>
    </w:p>
    <w:p w14:paraId="19561B16" w14:textId="77777777" w:rsidR="00A360EC" w:rsidRDefault="00A360EC" w:rsidP="00C639CE">
      <w:pPr>
        <w:rPr>
          <w:szCs w:val="22"/>
          <w:lang w:eastAsia="ja-JP"/>
        </w:rPr>
      </w:pPr>
    </w:p>
    <w:p w14:paraId="7E14B270" w14:textId="77777777" w:rsidR="00856A0E" w:rsidRDefault="00856A0E" w:rsidP="00856A0E">
      <w:pPr>
        <w:pStyle w:val="2"/>
        <w:numPr>
          <w:ilvl w:val="1"/>
          <w:numId w:val="2"/>
        </w:numPr>
        <w:rPr>
          <w:lang w:eastAsia="ja-JP"/>
        </w:rPr>
      </w:pPr>
      <w:r>
        <w:rPr>
          <w:rFonts w:hint="eastAsia"/>
          <w:lang w:eastAsia="ja-JP"/>
        </w:rPr>
        <w:t>Defi</w:t>
      </w:r>
      <w:r>
        <w:rPr>
          <w:lang w:eastAsia="ja-JP"/>
        </w:rPr>
        <w:t xml:space="preserve">nition of “NES capable UE” </w:t>
      </w:r>
    </w:p>
    <w:p w14:paraId="1019C625" w14:textId="4A252D00" w:rsidR="005D65F1" w:rsidRDefault="00C93899" w:rsidP="00C639CE">
      <w:pPr>
        <w:rPr>
          <w:szCs w:val="22"/>
          <w:lang w:eastAsia="ja-JP"/>
        </w:rPr>
      </w:pPr>
      <w:r w:rsidRPr="00C93899">
        <w:rPr>
          <w:szCs w:val="22"/>
          <w:lang w:eastAsia="ja-JP"/>
        </w:rPr>
        <w:t>The definition of NES capable UE in the category of Cell selection should take into consideration whether eliminating Legacy UEs improves the gain of the NES technology.</w:t>
      </w:r>
    </w:p>
    <w:p w14:paraId="0B9BAB4F" w14:textId="023A429A" w:rsidR="00C639CE" w:rsidRPr="00C639CE" w:rsidRDefault="00C639CE" w:rsidP="00C639CE">
      <w:pPr>
        <w:rPr>
          <w:szCs w:val="22"/>
          <w:lang w:eastAsia="ja-JP"/>
        </w:rPr>
      </w:pPr>
      <w:r w:rsidRPr="007905F4">
        <w:rPr>
          <w:szCs w:val="22"/>
          <w:lang w:eastAsia="ja-JP"/>
        </w:rPr>
        <w:t>In Rel-18, the following four energy-saving technologies will be specified, each of which will operate as an independent function.</w:t>
      </w:r>
    </w:p>
    <w:p w14:paraId="6E07AFB1"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SSB-less SCell</w:t>
      </w:r>
    </w:p>
    <w:p w14:paraId="37EC09C5"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cell DTX/DRX</w:t>
      </w:r>
    </w:p>
    <w:p w14:paraId="753F96C4"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rFonts w:hint="eastAsia"/>
          <w:szCs w:val="22"/>
          <w:lang w:eastAsia="ja-JP"/>
        </w:rPr>
        <w:t>Antenna port adaptation</w:t>
      </w:r>
    </w:p>
    <w:p w14:paraId="2387D2FE" w14:textId="6C3B29B2" w:rsid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PDSCH transmission power adaptation</w:t>
      </w:r>
    </w:p>
    <w:p w14:paraId="2F2EE8C9" w14:textId="77777777" w:rsidR="00EA6A6E" w:rsidRDefault="00BE2186" w:rsidP="003F0C19">
      <w:pPr>
        <w:rPr>
          <w:rFonts w:eastAsiaTheme="minorEastAsia"/>
          <w:lang w:eastAsia="ja-JP"/>
        </w:rPr>
      </w:pPr>
      <w:r w:rsidRPr="00BE2186">
        <w:rPr>
          <w:rFonts w:eastAsiaTheme="minorEastAsia"/>
          <w:lang w:eastAsia="ja-JP"/>
        </w:rPr>
        <w:t xml:space="preserve">Out of these, only cell DTX/DRX is considered as a technology whose gain is significantly affected by coexistence with Legacy UEs. Therefore, UEs that do not support Cell DTX/DRX may lower the NES gain </w:t>
      </w:r>
      <w:r w:rsidRPr="00BE2186">
        <w:rPr>
          <w:rFonts w:eastAsiaTheme="minorEastAsia"/>
          <w:lang w:eastAsia="ja-JP"/>
        </w:rPr>
        <w:lastRenderedPageBreak/>
        <w:t xml:space="preserve">by camping in a Cell DTX/DRX-applied cell, even if they support other NES technologies, just like Legacy UEs before Rel-17. This causes the NES gain to be reduced, and the barring is of no significance. </w:t>
      </w:r>
      <w:r w:rsidR="003F0C19" w:rsidRPr="003F0C19">
        <w:rPr>
          <w:rFonts w:eastAsiaTheme="minorEastAsia"/>
          <w:lang w:eastAsia="ja-JP"/>
        </w:rPr>
        <w:t>Therefore, the definition of "NES capable UE" in cell selection should be "UE supporting cell DTX/DRX".</w:t>
      </w:r>
    </w:p>
    <w:p w14:paraId="20B09F84" w14:textId="06008F6A" w:rsidR="009A4EFC" w:rsidRPr="00EA6A6E" w:rsidRDefault="009A4EFC" w:rsidP="00EA6A6E">
      <w:pPr>
        <w:ind w:left="1133" w:hangingChars="513" w:hanging="1133"/>
        <w:rPr>
          <w:b/>
          <w:bCs/>
        </w:rPr>
      </w:pPr>
      <w:r w:rsidRPr="00EA6A6E">
        <w:rPr>
          <w:b/>
          <w:bCs/>
        </w:rPr>
        <w:t>Proposal</w:t>
      </w:r>
      <w:r w:rsidR="00EA6A6E" w:rsidRPr="00EA6A6E">
        <w:rPr>
          <w:b/>
          <w:bCs/>
        </w:rPr>
        <w:t xml:space="preserve"> 2.</w:t>
      </w:r>
      <w:r w:rsidRPr="00EA6A6E">
        <w:rPr>
          <w:b/>
          <w:bCs/>
        </w:rPr>
        <w:t xml:space="preserve"> </w:t>
      </w:r>
      <w:r w:rsidR="00EA6A6E" w:rsidRPr="00EA6A6E">
        <w:rPr>
          <w:rFonts w:eastAsiaTheme="minorEastAsia"/>
          <w:b/>
          <w:bCs/>
          <w:lang w:eastAsia="ja-JP"/>
        </w:rPr>
        <w:t>The definition of "NES capable UE" in cell selection should be "UE supporting cell DTX/DRX".</w:t>
      </w:r>
    </w:p>
    <w:p w14:paraId="78E59782" w14:textId="77777777" w:rsidR="009A4EFC" w:rsidRPr="00C639CE" w:rsidRDefault="009A4EFC" w:rsidP="002352A6">
      <w:pPr>
        <w:pStyle w:val="ObservationandProposal"/>
      </w:pPr>
    </w:p>
    <w:p w14:paraId="56E25677" w14:textId="77777777" w:rsidR="007E2FC8" w:rsidRDefault="007E2FC8" w:rsidP="00856A0E">
      <w:pPr>
        <w:pStyle w:val="2"/>
        <w:numPr>
          <w:ilvl w:val="0"/>
          <w:numId w:val="31"/>
        </w:numPr>
        <w:rPr>
          <w:lang w:eastAsia="ja-JP"/>
        </w:rPr>
      </w:pPr>
      <w:r>
        <w:rPr>
          <w:rFonts w:hint="eastAsia"/>
          <w:lang w:eastAsia="ja-JP"/>
        </w:rPr>
        <w:t>Summary and proposal</w:t>
      </w:r>
    </w:p>
    <w:p w14:paraId="5D0A1CBF" w14:textId="095AFCA8" w:rsidR="00EA6A6E" w:rsidRPr="00EA6A6E" w:rsidRDefault="00EA6A6E" w:rsidP="00EA6A6E">
      <w:pPr>
        <w:ind w:left="1133" w:hangingChars="513" w:hanging="1133"/>
        <w:rPr>
          <w:b/>
          <w:bCs/>
          <w:szCs w:val="22"/>
          <w:lang w:eastAsia="ja-JP"/>
        </w:rPr>
      </w:pPr>
      <w:r w:rsidRPr="00EA6A6E">
        <w:rPr>
          <w:rFonts w:hint="eastAsia"/>
          <w:b/>
          <w:bCs/>
          <w:szCs w:val="22"/>
          <w:lang w:eastAsia="ja-JP"/>
        </w:rPr>
        <w:t>P</w:t>
      </w:r>
      <w:r w:rsidRPr="00EA6A6E">
        <w:rPr>
          <w:b/>
          <w:bCs/>
          <w:szCs w:val="22"/>
          <w:lang w:eastAsia="ja-JP"/>
        </w:rPr>
        <w:t xml:space="preserve">roposal 1: </w:t>
      </w:r>
      <w:r w:rsidR="00AF7C38" w:rsidRPr="00CD13B7">
        <w:rPr>
          <w:b/>
          <w:bCs/>
          <w:lang w:eastAsia="ja-JP"/>
        </w:rPr>
        <w:t xml:space="preserve">If </w:t>
      </w:r>
      <w:r w:rsidR="00AF7C38" w:rsidRPr="00AF7C38">
        <w:rPr>
          <w:b/>
          <w:bCs/>
          <w:i/>
          <w:iCs/>
          <w:lang w:eastAsia="ja-JP"/>
        </w:rPr>
        <w:t>cellBarredNES</w:t>
      </w:r>
      <w:r w:rsidR="00AF7C38" w:rsidRPr="00CD13B7">
        <w:rPr>
          <w:b/>
          <w:bCs/>
          <w:lang w:eastAsia="ja-JP"/>
        </w:rPr>
        <w:t xml:space="preserve"> is present in SIB1, the NES capable UE ignores </w:t>
      </w:r>
      <w:r w:rsidR="00AF7C38">
        <w:rPr>
          <w:b/>
          <w:bCs/>
          <w:i/>
          <w:iCs/>
          <w:lang w:eastAsia="ja-JP"/>
        </w:rPr>
        <w:t>c</w:t>
      </w:r>
      <w:r w:rsidR="00AF7C38" w:rsidRPr="00AF7C38">
        <w:rPr>
          <w:b/>
          <w:bCs/>
          <w:i/>
          <w:iCs/>
          <w:lang w:eastAsia="ja-JP"/>
        </w:rPr>
        <w:t>ell</w:t>
      </w:r>
      <w:r w:rsidR="00AF7C38">
        <w:rPr>
          <w:b/>
          <w:bCs/>
          <w:i/>
          <w:iCs/>
          <w:lang w:eastAsia="ja-JP"/>
        </w:rPr>
        <w:t>B</w:t>
      </w:r>
      <w:r w:rsidR="00AF7C38" w:rsidRPr="00AF7C38">
        <w:rPr>
          <w:b/>
          <w:bCs/>
          <w:i/>
          <w:iCs/>
          <w:lang w:eastAsia="ja-JP"/>
        </w:rPr>
        <w:t>arred</w:t>
      </w:r>
      <w:r w:rsidR="00AF7C38" w:rsidRPr="00CD13B7">
        <w:rPr>
          <w:b/>
          <w:bCs/>
          <w:lang w:eastAsia="ja-JP"/>
        </w:rPr>
        <w:t xml:space="preserve"> in MIB and follows </w:t>
      </w:r>
      <w:r w:rsidR="00AF7C38">
        <w:rPr>
          <w:b/>
          <w:bCs/>
          <w:i/>
          <w:iCs/>
          <w:lang w:eastAsia="ja-JP"/>
        </w:rPr>
        <w:t>c</w:t>
      </w:r>
      <w:r w:rsidR="00AF7C38" w:rsidRPr="00AF7C38">
        <w:rPr>
          <w:b/>
          <w:bCs/>
          <w:i/>
          <w:iCs/>
          <w:lang w:eastAsia="ja-JP"/>
        </w:rPr>
        <w:t>ellBarredNES</w:t>
      </w:r>
      <w:r w:rsidR="00AF7C38" w:rsidRPr="00CD13B7">
        <w:rPr>
          <w:b/>
          <w:bCs/>
          <w:lang w:eastAsia="ja-JP"/>
        </w:rPr>
        <w:t xml:space="preserve"> in SIB1. If </w:t>
      </w:r>
      <w:r w:rsidR="00AF7C38" w:rsidRPr="00AF7C38">
        <w:rPr>
          <w:b/>
          <w:bCs/>
          <w:i/>
          <w:iCs/>
          <w:lang w:eastAsia="ja-JP"/>
        </w:rPr>
        <w:t>cellBarredNES</w:t>
      </w:r>
      <w:r w:rsidR="00AF7C38" w:rsidRPr="00CD13B7">
        <w:rPr>
          <w:b/>
          <w:bCs/>
          <w:lang w:eastAsia="ja-JP"/>
        </w:rPr>
        <w:t xml:space="preserve"> is not present in SIB1, NES capable UEs should not ignore </w:t>
      </w:r>
      <w:r w:rsidR="00AF7C38" w:rsidRPr="00AF7C38">
        <w:rPr>
          <w:b/>
          <w:bCs/>
          <w:i/>
          <w:iCs/>
          <w:lang w:eastAsia="ja-JP"/>
        </w:rPr>
        <w:t>cell</w:t>
      </w:r>
      <w:r w:rsidR="00AF7C38">
        <w:rPr>
          <w:b/>
          <w:bCs/>
          <w:i/>
          <w:iCs/>
          <w:lang w:eastAsia="ja-JP"/>
        </w:rPr>
        <w:t>B</w:t>
      </w:r>
      <w:r w:rsidR="00AF7C38" w:rsidRPr="00AF7C38">
        <w:rPr>
          <w:b/>
          <w:bCs/>
          <w:i/>
          <w:iCs/>
          <w:lang w:eastAsia="ja-JP"/>
        </w:rPr>
        <w:t>arred</w:t>
      </w:r>
      <w:r w:rsidR="00AF7C38" w:rsidRPr="00CD13B7">
        <w:rPr>
          <w:b/>
          <w:bCs/>
          <w:lang w:eastAsia="ja-JP"/>
        </w:rPr>
        <w:t xml:space="preserve"> in MIB.</w:t>
      </w:r>
    </w:p>
    <w:p w14:paraId="7D31D2F1" w14:textId="77777777" w:rsidR="00EA6A6E" w:rsidRPr="00EA6A6E" w:rsidRDefault="00EA6A6E" w:rsidP="00EA6A6E">
      <w:pPr>
        <w:ind w:left="1133" w:hangingChars="513" w:hanging="1133"/>
        <w:rPr>
          <w:b/>
          <w:bCs/>
        </w:rPr>
      </w:pPr>
      <w:r w:rsidRPr="00EA6A6E">
        <w:rPr>
          <w:b/>
          <w:bCs/>
        </w:rPr>
        <w:t xml:space="preserve">Proposal 2. </w:t>
      </w:r>
      <w:r w:rsidRPr="00EA6A6E">
        <w:rPr>
          <w:rFonts w:eastAsiaTheme="minorEastAsia"/>
          <w:b/>
          <w:bCs/>
          <w:lang w:eastAsia="ja-JP"/>
        </w:rPr>
        <w:t>The definition of "NES capable UE" in cell selection should be "UE supporting cell DTX/DRX".</w:t>
      </w:r>
    </w:p>
    <w:p w14:paraId="3A2A209C" w14:textId="77777777" w:rsidR="00EA6A6E" w:rsidRPr="00EA6A6E" w:rsidRDefault="00EA6A6E" w:rsidP="00EA6A6E">
      <w:pPr>
        <w:pStyle w:val="aa"/>
        <w:ind w:leftChars="0" w:left="425"/>
        <w:rPr>
          <w:b/>
          <w:bCs/>
          <w:szCs w:val="22"/>
          <w:lang w:eastAsia="ja-JP"/>
        </w:rPr>
      </w:pPr>
    </w:p>
    <w:p w14:paraId="19CDB79A" w14:textId="77777777" w:rsidR="007E2FC8" w:rsidRPr="00863065" w:rsidRDefault="007E2FC8" w:rsidP="00856A0E">
      <w:pPr>
        <w:pStyle w:val="2"/>
        <w:numPr>
          <w:ilvl w:val="0"/>
          <w:numId w:val="31"/>
        </w:numPr>
        <w:rPr>
          <w:rFonts w:cs="Arial"/>
          <w:lang w:eastAsia="ja-JP"/>
        </w:rPr>
      </w:pPr>
      <w:r w:rsidRPr="00863065">
        <w:rPr>
          <w:rFonts w:cs="Arial"/>
          <w:lang w:eastAsia="ja-JP"/>
        </w:rPr>
        <w:t>Reference</w:t>
      </w:r>
      <w:r>
        <w:rPr>
          <w:rFonts w:cs="Arial" w:hint="eastAsia"/>
          <w:lang w:eastAsia="ja-JP"/>
        </w:rPr>
        <w:t>s</w:t>
      </w:r>
    </w:p>
    <w:p w14:paraId="78780D21" w14:textId="2A095D65" w:rsidR="007D6859" w:rsidRDefault="00C639CE" w:rsidP="00C639CE">
      <w:pPr>
        <w:rPr>
          <w:bCs/>
          <w:szCs w:val="18"/>
        </w:rPr>
      </w:pPr>
      <w:r w:rsidRPr="00C639CE">
        <w:rPr>
          <w:bCs/>
          <w:szCs w:val="18"/>
        </w:rPr>
        <w:t>[1]</w:t>
      </w:r>
      <w:r w:rsidRPr="00C639CE">
        <w:rPr>
          <w:bCs/>
          <w:szCs w:val="18"/>
        </w:rPr>
        <w:tab/>
        <w:t>RP-223540 - WID Network energy savings for NR</w:t>
      </w:r>
    </w:p>
    <w:p w14:paraId="4ACD6795" w14:textId="11C9E77A" w:rsidR="00107A58" w:rsidRPr="00262F8E" w:rsidRDefault="00107A58" w:rsidP="00C639CE">
      <w:pPr>
        <w:rPr>
          <w:szCs w:val="22"/>
          <w:lang w:eastAsia="ja-JP"/>
        </w:rPr>
      </w:pPr>
      <w:r>
        <w:rPr>
          <w:rFonts w:hint="eastAsia"/>
          <w:bCs/>
          <w:szCs w:val="18"/>
          <w:lang w:eastAsia="ja-JP"/>
        </w:rPr>
        <w:t>[</w:t>
      </w:r>
      <w:r>
        <w:rPr>
          <w:bCs/>
          <w:szCs w:val="18"/>
          <w:lang w:eastAsia="ja-JP"/>
        </w:rPr>
        <w:t>2]</w:t>
      </w:r>
      <w:r>
        <w:rPr>
          <w:bCs/>
          <w:szCs w:val="18"/>
          <w:lang w:eastAsia="ja-JP"/>
        </w:rPr>
        <w:tab/>
      </w:r>
      <w:r w:rsidR="00A14694" w:rsidRPr="00A14694">
        <w:rPr>
          <w:bCs/>
          <w:szCs w:val="18"/>
          <w:lang w:eastAsia="ja-JP"/>
        </w:rPr>
        <w:t>R2-2308963</w:t>
      </w:r>
      <w:r w:rsidR="00A14694">
        <w:rPr>
          <w:bCs/>
          <w:szCs w:val="18"/>
          <w:lang w:eastAsia="ja-JP"/>
        </w:rPr>
        <w:t xml:space="preserve"> </w:t>
      </w:r>
      <w:r w:rsidR="005A1404" w:rsidRPr="005A1404">
        <w:rPr>
          <w:bCs/>
          <w:szCs w:val="18"/>
          <w:lang w:eastAsia="ja-JP"/>
        </w:rPr>
        <w:t>Report from UP, Small data, URLLC/IIoT, RACH indication, NWES and UAV</w:t>
      </w:r>
    </w:p>
    <w:sectPr w:rsidR="00107A58" w:rsidRPr="00262F8E">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1F4F8" w14:textId="77777777" w:rsidR="00297349" w:rsidRDefault="00297349" w:rsidP="007E2FC8">
      <w:pPr>
        <w:spacing w:after="0"/>
      </w:pPr>
      <w:r>
        <w:separator/>
      </w:r>
    </w:p>
  </w:endnote>
  <w:endnote w:type="continuationSeparator" w:id="0">
    <w:p w14:paraId="2AF695FA" w14:textId="77777777" w:rsidR="00297349" w:rsidRDefault="00297349"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AF7C3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AF7C3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CE2F9" w14:textId="77777777" w:rsidR="00297349" w:rsidRDefault="00297349" w:rsidP="007E2FC8">
      <w:pPr>
        <w:spacing w:after="0"/>
      </w:pPr>
      <w:r>
        <w:separator/>
      </w:r>
    </w:p>
  </w:footnote>
  <w:footnote w:type="continuationSeparator" w:id="0">
    <w:p w14:paraId="0F6B045F" w14:textId="77777777" w:rsidR="00297349" w:rsidRDefault="00297349"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AF7C38">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B7705"/>
    <w:multiLevelType w:val="hybridMultilevel"/>
    <w:tmpl w:val="783AE964"/>
    <w:lvl w:ilvl="0" w:tplc="64941A98">
      <w:start w:val="1"/>
      <w:numFmt w:val="lowerRoman"/>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20A17F1B"/>
    <w:multiLevelType w:val="hybridMultilevel"/>
    <w:tmpl w:val="F5A2DBC2"/>
    <w:lvl w:ilvl="0" w:tplc="971CB752">
      <w:start w:val="4"/>
      <w:numFmt w:val="decimal"/>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4A4DC0"/>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9" w15:restartNumberingAfterBreak="0">
    <w:nsid w:val="30C07D6C"/>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5B2902"/>
    <w:multiLevelType w:val="hybridMultilevel"/>
    <w:tmpl w:val="DF3A685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8" w15:restartNumberingAfterBreak="0">
    <w:nsid w:val="779A1CB0"/>
    <w:multiLevelType w:val="multilevel"/>
    <w:tmpl w:val="5FC6C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27"/>
  </w:num>
  <w:num w:numId="2" w16cid:durableId="895511516">
    <w:abstractNumId w:val="24"/>
  </w:num>
  <w:num w:numId="3" w16cid:durableId="1647855571">
    <w:abstractNumId w:val="25"/>
  </w:num>
  <w:num w:numId="4" w16cid:durableId="2085176627">
    <w:abstractNumId w:val="16"/>
  </w:num>
  <w:num w:numId="5" w16cid:durableId="939949642">
    <w:abstractNumId w:val="0"/>
  </w:num>
  <w:num w:numId="6" w16cid:durableId="559634552">
    <w:abstractNumId w:val="14"/>
  </w:num>
  <w:num w:numId="7" w16cid:durableId="719593193">
    <w:abstractNumId w:val="26"/>
  </w:num>
  <w:num w:numId="8" w16cid:durableId="453333199">
    <w:abstractNumId w:val="19"/>
  </w:num>
  <w:num w:numId="9" w16cid:durableId="1486819577">
    <w:abstractNumId w:val="12"/>
  </w:num>
  <w:num w:numId="10" w16cid:durableId="1596472540">
    <w:abstractNumId w:val="3"/>
  </w:num>
  <w:num w:numId="11" w16cid:durableId="1346636538">
    <w:abstractNumId w:val="7"/>
  </w:num>
  <w:num w:numId="12" w16cid:durableId="808674292">
    <w:abstractNumId w:val="23"/>
  </w:num>
  <w:num w:numId="13" w16cid:durableId="1692759589">
    <w:abstractNumId w:val="1"/>
  </w:num>
  <w:num w:numId="14" w16cid:durableId="880171971">
    <w:abstractNumId w:val="21"/>
  </w:num>
  <w:num w:numId="15" w16cid:durableId="607394869">
    <w:abstractNumId w:val="18"/>
  </w:num>
  <w:num w:numId="16" w16cid:durableId="1301425580">
    <w:abstractNumId w:val="4"/>
  </w:num>
  <w:num w:numId="17" w16cid:durableId="684402807">
    <w:abstractNumId w:val="17"/>
  </w:num>
  <w:num w:numId="18" w16cid:durableId="1163546247">
    <w:abstractNumId w:val="31"/>
  </w:num>
  <w:num w:numId="19" w16cid:durableId="688020558">
    <w:abstractNumId w:val="20"/>
  </w:num>
  <w:num w:numId="20" w16cid:durableId="1896354333">
    <w:abstractNumId w:val="29"/>
  </w:num>
  <w:num w:numId="21" w16cid:durableId="277030858">
    <w:abstractNumId w:val="10"/>
  </w:num>
  <w:num w:numId="22" w16cid:durableId="264580305">
    <w:abstractNumId w:val="30"/>
  </w:num>
  <w:num w:numId="23" w16cid:durableId="845746589">
    <w:abstractNumId w:val="11"/>
  </w:num>
  <w:num w:numId="24" w16cid:durableId="1612275730">
    <w:abstractNumId w:val="13"/>
  </w:num>
  <w:num w:numId="25" w16cid:durableId="1615139826">
    <w:abstractNumId w:val="22"/>
  </w:num>
  <w:num w:numId="26" w16cid:durableId="703600188">
    <w:abstractNumId w:val="25"/>
  </w:num>
  <w:num w:numId="27" w16cid:durableId="1941792379">
    <w:abstractNumId w:val="2"/>
  </w:num>
  <w:num w:numId="28" w16cid:durableId="2003268527">
    <w:abstractNumId w:val="6"/>
  </w:num>
  <w:num w:numId="29" w16cid:durableId="1456945520">
    <w:abstractNumId w:val="5"/>
  </w:num>
  <w:num w:numId="30" w16cid:durableId="325670232">
    <w:abstractNumId w:val="28"/>
  </w:num>
  <w:num w:numId="31" w16cid:durableId="2065983711">
    <w:abstractNumId w:val="9"/>
  </w:num>
  <w:num w:numId="32" w16cid:durableId="1967393682">
    <w:abstractNumId w:val="8"/>
  </w:num>
  <w:num w:numId="33" w16cid:durableId="18475545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840"/>
  <w:displayHorizontalDrawingGridEvery w:val="0"/>
  <w:displayVerticalDrawingGridEvery w:val="2"/>
  <w:characterSpacingControl w:val="compressPunctuation"/>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E4E"/>
    <w:rsid w:val="00020874"/>
    <w:rsid w:val="00034D94"/>
    <w:rsid w:val="00035504"/>
    <w:rsid w:val="00040904"/>
    <w:rsid w:val="000645A8"/>
    <w:rsid w:val="00087D8D"/>
    <w:rsid w:val="00093464"/>
    <w:rsid w:val="000A2EDD"/>
    <w:rsid w:val="000C6A39"/>
    <w:rsid w:val="000E784B"/>
    <w:rsid w:val="000F1FE0"/>
    <w:rsid w:val="000F2C95"/>
    <w:rsid w:val="00100FA5"/>
    <w:rsid w:val="00107A58"/>
    <w:rsid w:val="00137300"/>
    <w:rsid w:val="00137E5D"/>
    <w:rsid w:val="0015091B"/>
    <w:rsid w:val="00165D88"/>
    <w:rsid w:val="00172DB3"/>
    <w:rsid w:val="00176B21"/>
    <w:rsid w:val="00177A4B"/>
    <w:rsid w:val="001869BA"/>
    <w:rsid w:val="00190F58"/>
    <w:rsid w:val="001A5E4A"/>
    <w:rsid w:val="001C72AD"/>
    <w:rsid w:val="001C74C8"/>
    <w:rsid w:val="001E5550"/>
    <w:rsid w:val="001F2167"/>
    <w:rsid w:val="001F729A"/>
    <w:rsid w:val="001F75F0"/>
    <w:rsid w:val="00216F83"/>
    <w:rsid w:val="00226034"/>
    <w:rsid w:val="002305A6"/>
    <w:rsid w:val="00231FE1"/>
    <w:rsid w:val="002352A6"/>
    <w:rsid w:val="00252368"/>
    <w:rsid w:val="00262F8E"/>
    <w:rsid w:val="00297349"/>
    <w:rsid w:val="002A2FF9"/>
    <w:rsid w:val="002B674A"/>
    <w:rsid w:val="00305EC3"/>
    <w:rsid w:val="00327404"/>
    <w:rsid w:val="003569A8"/>
    <w:rsid w:val="0036573E"/>
    <w:rsid w:val="00380ECB"/>
    <w:rsid w:val="00385CCA"/>
    <w:rsid w:val="00394398"/>
    <w:rsid w:val="003B3AD9"/>
    <w:rsid w:val="003F0C19"/>
    <w:rsid w:val="00400FD3"/>
    <w:rsid w:val="0040449D"/>
    <w:rsid w:val="00405871"/>
    <w:rsid w:val="00422AAA"/>
    <w:rsid w:val="00423894"/>
    <w:rsid w:val="004407A3"/>
    <w:rsid w:val="004635BE"/>
    <w:rsid w:val="00481665"/>
    <w:rsid w:val="00487E5D"/>
    <w:rsid w:val="00492644"/>
    <w:rsid w:val="00493F9E"/>
    <w:rsid w:val="004A1E6E"/>
    <w:rsid w:val="004C419F"/>
    <w:rsid w:val="004D1B48"/>
    <w:rsid w:val="004E6B03"/>
    <w:rsid w:val="004F6390"/>
    <w:rsid w:val="00505E5E"/>
    <w:rsid w:val="00506BE0"/>
    <w:rsid w:val="005119EF"/>
    <w:rsid w:val="0051695D"/>
    <w:rsid w:val="00535F50"/>
    <w:rsid w:val="00537958"/>
    <w:rsid w:val="005408FC"/>
    <w:rsid w:val="00541C01"/>
    <w:rsid w:val="0055699B"/>
    <w:rsid w:val="00557E28"/>
    <w:rsid w:val="00592EFE"/>
    <w:rsid w:val="005A1404"/>
    <w:rsid w:val="005A5C2E"/>
    <w:rsid w:val="005B6568"/>
    <w:rsid w:val="005C7784"/>
    <w:rsid w:val="005D65F1"/>
    <w:rsid w:val="005E52E2"/>
    <w:rsid w:val="005F1EB4"/>
    <w:rsid w:val="005F73C8"/>
    <w:rsid w:val="006058A0"/>
    <w:rsid w:val="00616900"/>
    <w:rsid w:val="00622539"/>
    <w:rsid w:val="006456CA"/>
    <w:rsid w:val="006563C2"/>
    <w:rsid w:val="00661C29"/>
    <w:rsid w:val="00665154"/>
    <w:rsid w:val="00675CEF"/>
    <w:rsid w:val="00675E18"/>
    <w:rsid w:val="00683A27"/>
    <w:rsid w:val="00694325"/>
    <w:rsid w:val="006B3BCE"/>
    <w:rsid w:val="006C3ABC"/>
    <w:rsid w:val="006C44D9"/>
    <w:rsid w:val="006D275E"/>
    <w:rsid w:val="006D409B"/>
    <w:rsid w:val="006E3E6F"/>
    <w:rsid w:val="006F000D"/>
    <w:rsid w:val="007146AD"/>
    <w:rsid w:val="00721B18"/>
    <w:rsid w:val="00736804"/>
    <w:rsid w:val="007403D7"/>
    <w:rsid w:val="007472A0"/>
    <w:rsid w:val="007507A2"/>
    <w:rsid w:val="00752710"/>
    <w:rsid w:val="00761332"/>
    <w:rsid w:val="007905F4"/>
    <w:rsid w:val="00792414"/>
    <w:rsid w:val="007A1912"/>
    <w:rsid w:val="007D4E40"/>
    <w:rsid w:val="007D6859"/>
    <w:rsid w:val="007E2FC8"/>
    <w:rsid w:val="007E68CE"/>
    <w:rsid w:val="007F03B1"/>
    <w:rsid w:val="007F0B83"/>
    <w:rsid w:val="0080422F"/>
    <w:rsid w:val="0083168F"/>
    <w:rsid w:val="0084658A"/>
    <w:rsid w:val="008472A3"/>
    <w:rsid w:val="00856A0E"/>
    <w:rsid w:val="00864C41"/>
    <w:rsid w:val="00871B8A"/>
    <w:rsid w:val="00874793"/>
    <w:rsid w:val="008801BD"/>
    <w:rsid w:val="008913C6"/>
    <w:rsid w:val="00896DC7"/>
    <w:rsid w:val="008A38C3"/>
    <w:rsid w:val="008B1995"/>
    <w:rsid w:val="008B4D0A"/>
    <w:rsid w:val="008C0E6B"/>
    <w:rsid w:val="008C2D47"/>
    <w:rsid w:val="008D3EEA"/>
    <w:rsid w:val="008E5A66"/>
    <w:rsid w:val="008F71F1"/>
    <w:rsid w:val="0092515C"/>
    <w:rsid w:val="00945699"/>
    <w:rsid w:val="0094719A"/>
    <w:rsid w:val="00947AC0"/>
    <w:rsid w:val="00972AB4"/>
    <w:rsid w:val="00976D45"/>
    <w:rsid w:val="0099473F"/>
    <w:rsid w:val="009A4EFC"/>
    <w:rsid w:val="009B1F20"/>
    <w:rsid w:val="009E386C"/>
    <w:rsid w:val="00A00E94"/>
    <w:rsid w:val="00A14694"/>
    <w:rsid w:val="00A1702E"/>
    <w:rsid w:val="00A360EC"/>
    <w:rsid w:val="00A37E5C"/>
    <w:rsid w:val="00A5027C"/>
    <w:rsid w:val="00A52A8C"/>
    <w:rsid w:val="00AA628B"/>
    <w:rsid w:val="00AE3024"/>
    <w:rsid w:val="00AF1F5E"/>
    <w:rsid w:val="00AF7C38"/>
    <w:rsid w:val="00B01D89"/>
    <w:rsid w:val="00B03D23"/>
    <w:rsid w:val="00B07552"/>
    <w:rsid w:val="00B2302F"/>
    <w:rsid w:val="00B34538"/>
    <w:rsid w:val="00B350B3"/>
    <w:rsid w:val="00B36604"/>
    <w:rsid w:val="00B36B37"/>
    <w:rsid w:val="00B70AB1"/>
    <w:rsid w:val="00B74CF6"/>
    <w:rsid w:val="00B9705C"/>
    <w:rsid w:val="00BB72E9"/>
    <w:rsid w:val="00BE2186"/>
    <w:rsid w:val="00BF04FB"/>
    <w:rsid w:val="00C11B88"/>
    <w:rsid w:val="00C163E2"/>
    <w:rsid w:val="00C22D7C"/>
    <w:rsid w:val="00C4690F"/>
    <w:rsid w:val="00C479BA"/>
    <w:rsid w:val="00C639CE"/>
    <w:rsid w:val="00C642EF"/>
    <w:rsid w:val="00C93899"/>
    <w:rsid w:val="00C93B43"/>
    <w:rsid w:val="00C97CFC"/>
    <w:rsid w:val="00CA1340"/>
    <w:rsid w:val="00CD13B7"/>
    <w:rsid w:val="00CE0DB4"/>
    <w:rsid w:val="00D23427"/>
    <w:rsid w:val="00D31175"/>
    <w:rsid w:val="00D733A4"/>
    <w:rsid w:val="00D734FE"/>
    <w:rsid w:val="00D769F6"/>
    <w:rsid w:val="00D83587"/>
    <w:rsid w:val="00D94041"/>
    <w:rsid w:val="00D950BE"/>
    <w:rsid w:val="00D959DC"/>
    <w:rsid w:val="00DA3618"/>
    <w:rsid w:val="00DB7347"/>
    <w:rsid w:val="00DB76B3"/>
    <w:rsid w:val="00E0558F"/>
    <w:rsid w:val="00E06E4B"/>
    <w:rsid w:val="00E202C2"/>
    <w:rsid w:val="00E42331"/>
    <w:rsid w:val="00E73802"/>
    <w:rsid w:val="00E83C11"/>
    <w:rsid w:val="00EA6A6E"/>
    <w:rsid w:val="00ED1A30"/>
    <w:rsid w:val="00EE51CB"/>
    <w:rsid w:val="00F007D5"/>
    <w:rsid w:val="00F33754"/>
    <w:rsid w:val="00F4104B"/>
    <w:rsid w:val="00F5252D"/>
    <w:rsid w:val="00F94FAF"/>
    <w:rsid w:val="00FD2D84"/>
    <w:rsid w:val="00FE525E"/>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9CE"/>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813328848">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1382746919">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674</Words>
  <Characters>3847</Characters>
  <Application>Microsoft Office Word</Application>
  <DocSecurity>4</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Shoki Inoue</cp:lastModifiedBy>
  <cp:revision>2</cp:revision>
  <dcterms:created xsi:type="dcterms:W3CDTF">2023-09-29T06:04:00Z</dcterms:created>
  <dcterms:modified xsi:type="dcterms:W3CDTF">2023-09-29T06:04:00Z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2023-05-12T03:59:21Z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05f3efb8-6a9a-46a9-a73a-d017b4b26677</vt:lpwstr>
  </property>
  <property fmtid="{D5CDD505-2E9C-101B-9397-08002B2CF9AE}" pid="8" name="MSIP_Label_f7b7771f-98a2-4ec9-8160-ee37e9359e20_ContentBits">
    <vt:lpwstr>0</vt:lpwstr>
  </property>
</Properties>
</file>